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B71FB" w14:textId="0AA670A5" w:rsidR="009C3ECA" w:rsidRDefault="009C3ECA" w:rsidP="009C3ECA">
      <w:pPr>
        <w:pStyle w:val="Title"/>
      </w:pPr>
      <w:r>
        <w:t>Lab</w:t>
      </w:r>
      <w:r w:rsidR="007E4F38">
        <w:t xml:space="preserve"> 1</w:t>
      </w:r>
      <w:r w:rsidR="00A7021F">
        <w:t>1</w:t>
      </w:r>
      <w:r>
        <w:t xml:space="preserve">: </w:t>
      </w:r>
      <w:r w:rsidR="00A7021F">
        <w:t>Tank Blowdown</w:t>
      </w:r>
    </w:p>
    <w:p w14:paraId="1E7EA5ED" w14:textId="3F3B51F2" w:rsidR="000D08DE" w:rsidRDefault="49800B1C" w:rsidP="009C3ECA">
      <w:r w:rsidRPr="49800B1C">
        <w:rPr>
          <w:b/>
          <w:bCs/>
        </w:rPr>
        <w:t xml:space="preserve">SAFETY SECTION: </w:t>
      </w:r>
      <w:r>
        <w:t xml:space="preserve">This lab deals with compressed air. Compressed gases, when compared to incompressible liquids, have additional safety concerns because a lot of energy can be stored in a compressed gas. If that energy is released suddenly, it can propel dust and other solids at high speed and create harmfully large sound levels. Do not place your face or head in the path of high-speed gas flow. Use </w:t>
      </w:r>
      <w:r w:rsidRPr="49800B1C">
        <w:rPr>
          <w:i/>
          <w:iCs/>
        </w:rPr>
        <w:t xml:space="preserve">ear plugs </w:t>
      </w:r>
      <w:r>
        <w:t xml:space="preserve">to protect your hearing while discharging pressurized air. </w:t>
      </w:r>
      <w:proofErr w:type="gramStart"/>
      <w:r>
        <w:t>Long pants,</w:t>
      </w:r>
      <w:proofErr w:type="gramEnd"/>
      <w:r>
        <w:t xml:space="preserve"> closed toed shoes and safety glasses must be worn at all times.</w:t>
      </w:r>
    </w:p>
    <w:p w14:paraId="62108AD7" w14:textId="0AD1C531" w:rsidR="009C3ECA" w:rsidRPr="00676AD5" w:rsidRDefault="49800B1C" w:rsidP="009C3ECA">
      <w:pPr>
        <w:rPr>
          <w:b/>
          <w:bCs/>
        </w:rPr>
      </w:pPr>
      <w:r>
        <w:t xml:space="preserve">You will fill a tank with compressed air at pressure around 65-70 </w:t>
      </w:r>
      <w:proofErr w:type="spellStart"/>
      <w:r>
        <w:t>psig</w:t>
      </w:r>
      <w:proofErr w:type="spellEnd"/>
      <w:r>
        <w:t xml:space="preserve">, the max we can get in the lab. The tank is rated to handle a pressure of 200 </w:t>
      </w:r>
      <w:proofErr w:type="spellStart"/>
      <w:r>
        <w:t>psig</w:t>
      </w:r>
      <w:proofErr w:type="spellEnd"/>
      <w:r>
        <w:t xml:space="preserve">. In addition, there is a pressure relief valve on the tank to release pressure at 125 </w:t>
      </w:r>
      <w:proofErr w:type="spellStart"/>
      <w:r>
        <w:t>psig</w:t>
      </w:r>
      <w:proofErr w:type="spellEnd"/>
      <w:r>
        <w:t xml:space="preserve">. Therefore, the risk of a tank rupture is negligible. </w:t>
      </w:r>
    </w:p>
    <w:p w14:paraId="1751EEAE" w14:textId="77777777" w:rsidR="007E4F38" w:rsidRDefault="007E4F38" w:rsidP="007E4F38">
      <w:pPr>
        <w:rPr>
          <w:b/>
          <w:bCs/>
        </w:rPr>
      </w:pPr>
      <w:r w:rsidRPr="1F206A56">
        <w:rPr>
          <w:b/>
          <w:bCs/>
        </w:rPr>
        <w:t>Begin your lab by holding a team planning session (</w:t>
      </w:r>
      <w:r>
        <w:rPr>
          <w:b/>
          <w:bCs/>
        </w:rPr>
        <w:t>3</w:t>
      </w:r>
      <w:r w:rsidRPr="1F206A56">
        <w:rPr>
          <w:b/>
          <w:bCs/>
        </w:rPr>
        <w:t xml:space="preserve"> minutes): </w:t>
      </w:r>
    </w:p>
    <w:p w14:paraId="1CBB3EB3" w14:textId="3E7D21D5" w:rsidR="005E4301" w:rsidRDefault="005E4301" w:rsidP="007E4F38">
      <w:pPr>
        <w:pStyle w:val="ListParagraph"/>
        <w:numPr>
          <w:ilvl w:val="0"/>
          <w:numId w:val="2"/>
        </w:numPr>
      </w:pPr>
      <w:r w:rsidRPr="00F95912">
        <w:rPr>
          <w:b/>
        </w:rPr>
        <w:t xml:space="preserve">This lab will require </w:t>
      </w:r>
      <w:r w:rsidR="00472D96">
        <w:rPr>
          <w:b/>
        </w:rPr>
        <w:t>additional</w:t>
      </w:r>
      <w:r w:rsidR="005A0C38">
        <w:rPr>
          <w:b/>
        </w:rPr>
        <w:t xml:space="preserve"> </w:t>
      </w:r>
      <w:r w:rsidRPr="00F95912">
        <w:rPr>
          <w:b/>
        </w:rPr>
        <w:t>preparation time</w:t>
      </w:r>
      <w:r>
        <w:t xml:space="preserve">. </w:t>
      </w:r>
      <w:r w:rsidR="00694F1F">
        <w:t>You should have previously r</w:t>
      </w:r>
      <w:r w:rsidR="005A0C38">
        <w:t xml:space="preserve">ead the </w:t>
      </w:r>
      <w:r w:rsidR="008E0384">
        <w:t>last 2</w:t>
      </w:r>
      <w:r w:rsidR="00472D96">
        <w:t xml:space="preserve"> ½ pages of </w:t>
      </w:r>
      <w:r w:rsidR="005A0C38">
        <w:t>“Tank Blowdown</w:t>
      </w:r>
      <w:r w:rsidR="008E0788">
        <w:t xml:space="preserve"> Math</w:t>
      </w:r>
      <w:r w:rsidR="005A0C38">
        <w:t xml:space="preserve">” </w:t>
      </w:r>
      <w:r w:rsidR="00BC5C9F">
        <w:t xml:space="preserve">document </w:t>
      </w:r>
      <w:r w:rsidR="005A0C38">
        <w:t xml:space="preserve">posted on Learning Suite, </w:t>
      </w:r>
      <w:r>
        <w:t>seek</w:t>
      </w:r>
      <w:r w:rsidR="00F95912">
        <w:t>ing</w:t>
      </w:r>
      <w:r>
        <w:t xml:space="preserve"> to understand the principles of compressible flow</w:t>
      </w:r>
      <w:r w:rsidR="005A0C38">
        <w:t xml:space="preserve"> and the key</w:t>
      </w:r>
      <w:r w:rsidR="001E501C">
        <w:t xml:space="preserve"> equations you will need to analyze your data.</w:t>
      </w:r>
    </w:p>
    <w:p w14:paraId="4C240BE0" w14:textId="48EAAC6E" w:rsidR="005B417D" w:rsidRDefault="005B417D" w:rsidP="005B417D">
      <w:pPr>
        <w:pStyle w:val="ListParagraph"/>
        <w:numPr>
          <w:ilvl w:val="0"/>
          <w:numId w:val="2"/>
        </w:numPr>
      </w:pPr>
      <w:r>
        <w:t xml:space="preserve">Review the safety information above.  </w:t>
      </w:r>
    </w:p>
    <w:p w14:paraId="197F8888" w14:textId="5C5BE319" w:rsidR="007E4F38" w:rsidRPr="006B39AE" w:rsidRDefault="007E4F38" w:rsidP="007E4F38">
      <w:pPr>
        <w:pStyle w:val="ListParagraph"/>
        <w:numPr>
          <w:ilvl w:val="0"/>
          <w:numId w:val="2"/>
        </w:numPr>
      </w:pPr>
      <w:r>
        <w:t>One person should serve as leader/coordinator. All team members should strive to make the team function better through various roles: observer, recorder, devil’s advocate, etc. Ask for each other’s input and opinions, help each other, and try to come to consensus after an appropriate amount of brainstorming and analysis.</w:t>
      </w:r>
    </w:p>
    <w:p w14:paraId="4CA58F3D" w14:textId="08BF6B86" w:rsidR="007E4F38" w:rsidRPr="001F7570" w:rsidRDefault="007E4F38" w:rsidP="007E4F38">
      <w:pPr>
        <w:pStyle w:val="ListParagraph"/>
        <w:numPr>
          <w:ilvl w:val="0"/>
          <w:numId w:val="2"/>
        </w:numPr>
      </w:pPr>
      <w:r>
        <w:t xml:space="preserve">Make a plan for how you will complete the lab activities. Each person should </w:t>
      </w:r>
      <w:r w:rsidR="008E01F8">
        <w:t>turn in</w:t>
      </w:r>
      <w:r>
        <w:t xml:space="preserve"> their own lab report </w:t>
      </w:r>
      <w:r w:rsidR="00EB278A">
        <w:t xml:space="preserve">and </w:t>
      </w:r>
      <w:r w:rsidR="00EB278A" w:rsidRPr="00EB278A">
        <w:rPr>
          <w:b/>
        </w:rPr>
        <w:t>Excel sheet</w:t>
      </w:r>
      <w:r w:rsidR="00EB278A">
        <w:t xml:space="preserve"> </w:t>
      </w:r>
      <w:r w:rsidR="008E01F8">
        <w:t>produced independently from teammates</w:t>
      </w:r>
      <w:r>
        <w:t xml:space="preserve">. At the end of the hour, after </w:t>
      </w:r>
      <w:r w:rsidR="00580F7F">
        <w:t>properly shutting down the equipment,</w:t>
      </w:r>
      <w:r>
        <w:t xml:space="preserve"> get the TA to initial the end of your report. </w:t>
      </w:r>
    </w:p>
    <w:p w14:paraId="31E4698C" w14:textId="5F91B455" w:rsidR="00952CCA" w:rsidRPr="005A2C87" w:rsidRDefault="49800B1C" w:rsidP="007E4F38">
      <w:r w:rsidRPr="49800B1C">
        <w:rPr>
          <w:b/>
          <w:bCs/>
        </w:rPr>
        <w:t xml:space="preserve">Background: </w:t>
      </w:r>
      <w:r>
        <w:t>It is helpful to be able to estimate how long it will take to empty a tank filled with gas through an orifice or valve. If a discharge coefficient and geometry for an orifice is known, one can compute the flow rate leaving the tank, given temperature and pressure in the tank. However, in the case of a complete blowdown, conditions in the tank, and therefore in the orifice, are changing in time. To correctly predict what will happen requires use of a transient mass balance and a solution to the resulting differential equation. The document “Tank Blowdown Math” provides needed equations and background, particularly the last 2 ½ pages.</w:t>
      </w:r>
    </w:p>
    <w:p w14:paraId="50F7CB88" w14:textId="4A3EA5EE" w:rsidR="007E4F38" w:rsidRDefault="007E4F38" w:rsidP="007E4F38">
      <w:r w:rsidRPr="1F206A56">
        <w:rPr>
          <w:b/>
          <w:bCs/>
        </w:rPr>
        <w:t>Project:</w:t>
      </w:r>
      <w:r>
        <w:t xml:space="preserve"> </w:t>
      </w:r>
      <w:r w:rsidR="00AE540E">
        <w:rPr>
          <w:bCs/>
        </w:rPr>
        <w:t xml:space="preserve">In this lab you will do a transient </w:t>
      </w:r>
      <w:r w:rsidR="008E0384">
        <w:rPr>
          <w:bCs/>
        </w:rPr>
        <w:t xml:space="preserve">measurement </w:t>
      </w:r>
      <w:r w:rsidR="00AE540E">
        <w:rPr>
          <w:bCs/>
        </w:rPr>
        <w:t xml:space="preserve">on a tank while </w:t>
      </w:r>
      <w:r w:rsidR="008E0384">
        <w:rPr>
          <w:bCs/>
        </w:rPr>
        <w:t xml:space="preserve">it discharges and then compare </w:t>
      </w:r>
      <w:r w:rsidR="00395E7C">
        <w:rPr>
          <w:bCs/>
        </w:rPr>
        <w:t>results</w:t>
      </w:r>
      <w:r w:rsidR="008E0384">
        <w:rPr>
          <w:bCs/>
        </w:rPr>
        <w:t xml:space="preserve"> to theory. For the theory y</w:t>
      </w:r>
      <w:r w:rsidR="00AE540E">
        <w:rPr>
          <w:bCs/>
        </w:rPr>
        <w:t xml:space="preserve">ou will </w:t>
      </w:r>
      <w:r w:rsidR="008E0384">
        <w:rPr>
          <w:bCs/>
        </w:rPr>
        <w:t xml:space="preserve">use the </w:t>
      </w:r>
      <w:r w:rsidR="00AE540E">
        <w:rPr>
          <w:bCs/>
        </w:rPr>
        <w:t xml:space="preserve">coefficient of discharge </w:t>
      </w:r>
      <m:oMath>
        <m:sSub>
          <m:sSubPr>
            <m:ctrlPr>
              <w:rPr>
                <w:rFonts w:ascii="Cambria Math" w:hAnsi="Cambria Math"/>
                <w:bCs/>
                <w:i/>
              </w:rPr>
            </m:ctrlPr>
          </m:sSubPr>
          <m:e>
            <m:r>
              <w:rPr>
                <w:rFonts w:ascii="Cambria Math" w:hAnsi="Cambria Math"/>
              </w:rPr>
              <m:t>C</m:t>
            </m:r>
          </m:e>
          <m:sub>
            <m:r>
              <w:rPr>
                <w:rFonts w:ascii="Cambria Math" w:hAnsi="Cambria Math"/>
              </w:rPr>
              <m:t>d</m:t>
            </m:r>
          </m:sub>
        </m:sSub>
      </m:oMath>
      <w:r w:rsidR="00E456C0">
        <w:rPr>
          <w:rFonts w:eastAsiaTheme="minorEastAsia"/>
          <w:bCs/>
        </w:rPr>
        <w:t xml:space="preserve">, orifice </w:t>
      </w:r>
      <w:r w:rsidR="00395E7C">
        <w:rPr>
          <w:rFonts w:eastAsiaTheme="minorEastAsia"/>
          <w:bCs/>
        </w:rPr>
        <w:t>diameter</w:t>
      </w:r>
      <w:r w:rsidR="00E456C0">
        <w:rPr>
          <w:rFonts w:eastAsiaTheme="minorEastAsia"/>
          <w:bCs/>
        </w:rPr>
        <w:t>, and tank volume</w:t>
      </w:r>
      <w:r w:rsidR="00395E7C">
        <w:rPr>
          <w:rFonts w:eastAsiaTheme="minorEastAsia"/>
          <w:bCs/>
        </w:rPr>
        <w:t xml:space="preserve"> </w:t>
      </w:r>
      <w:r w:rsidR="008E0384">
        <w:rPr>
          <w:rFonts w:eastAsiaTheme="minorEastAsia"/>
          <w:bCs/>
        </w:rPr>
        <w:t xml:space="preserve">you previously determined in </w:t>
      </w:r>
      <w:r w:rsidR="004475EE">
        <w:rPr>
          <w:rFonts w:eastAsiaTheme="minorEastAsia"/>
          <w:bCs/>
        </w:rPr>
        <w:t>the Compressible Flow lab</w:t>
      </w:r>
      <w:r w:rsidR="008E0384">
        <w:rPr>
          <w:rFonts w:eastAsiaTheme="minorEastAsia"/>
          <w:bCs/>
        </w:rPr>
        <w:t xml:space="preserve">. </w:t>
      </w:r>
      <w:r w:rsidR="00AB7AFA">
        <w:rPr>
          <w:rFonts w:eastAsiaTheme="minorEastAsia"/>
          <w:bCs/>
        </w:rPr>
        <w:t>Make sure you are using the exact same orifice</w:t>
      </w:r>
      <w:r w:rsidR="00E456C0">
        <w:rPr>
          <w:rFonts w:eastAsiaTheme="minorEastAsia"/>
          <w:bCs/>
        </w:rPr>
        <w:t xml:space="preserve"> and tank apparatus, as </w:t>
      </w:r>
      <w:r w:rsidR="00AB7AFA">
        <w:rPr>
          <w:rFonts w:eastAsiaTheme="minorEastAsia"/>
          <w:bCs/>
        </w:rPr>
        <w:t xml:space="preserve">they </w:t>
      </w:r>
      <w:r w:rsidR="00E456C0">
        <w:rPr>
          <w:rFonts w:eastAsiaTheme="minorEastAsia"/>
          <w:bCs/>
        </w:rPr>
        <w:t>may have slight differences</w:t>
      </w:r>
      <w:r w:rsidR="00AB7AFA">
        <w:rPr>
          <w:rFonts w:eastAsiaTheme="minorEastAsia"/>
          <w:bCs/>
        </w:rPr>
        <w:t>!</w:t>
      </w:r>
      <w:r w:rsidR="00661FB3">
        <w:rPr>
          <w:rFonts w:eastAsiaTheme="minorEastAsia"/>
          <w:bCs/>
        </w:rPr>
        <w:t xml:space="preserve"> Once done with experiment and theory you </w:t>
      </w:r>
      <w:r w:rsidR="008E0384">
        <w:rPr>
          <w:rFonts w:eastAsiaTheme="minorEastAsia"/>
          <w:bCs/>
        </w:rPr>
        <w:t>will produce a summary graph</w:t>
      </w:r>
      <w:r w:rsidR="00AE540E">
        <w:rPr>
          <w:bCs/>
        </w:rPr>
        <w:t>.</w:t>
      </w:r>
    </w:p>
    <w:p w14:paraId="5DDC4E9C" w14:textId="7DFE8847" w:rsidR="007E4F38" w:rsidRPr="001F3309" w:rsidRDefault="007E4F38" w:rsidP="008B265A">
      <w:pPr>
        <w:pStyle w:val="ListParagraph"/>
        <w:numPr>
          <w:ilvl w:val="0"/>
          <w:numId w:val="3"/>
        </w:numPr>
        <w:rPr>
          <w:b/>
        </w:rPr>
      </w:pPr>
      <w:r>
        <w:rPr>
          <w:b/>
        </w:rPr>
        <w:lastRenderedPageBreak/>
        <w:t xml:space="preserve">Pre-Lab Preparation: </w:t>
      </w:r>
      <w:r>
        <w:t>Answer the following questions to prepare for the data collection and analysis</w:t>
      </w:r>
    </w:p>
    <w:p w14:paraId="28BF06C1" w14:textId="77777777" w:rsidR="001F3309" w:rsidRPr="008B265A" w:rsidRDefault="001F3309" w:rsidP="001F3309">
      <w:pPr>
        <w:pStyle w:val="ListParagraph"/>
        <w:rPr>
          <w:b/>
        </w:rPr>
      </w:pPr>
    </w:p>
    <w:p w14:paraId="14540A5A" w14:textId="67FBF5D4" w:rsidR="00AC6268" w:rsidRDefault="00AC6268" w:rsidP="008470E1">
      <w:pPr>
        <w:pStyle w:val="ListParagraph"/>
        <w:numPr>
          <w:ilvl w:val="1"/>
          <w:numId w:val="3"/>
        </w:numPr>
      </w:pPr>
      <w:r>
        <w:t xml:space="preserve">What is the tank volume you determined in </w:t>
      </w:r>
      <w:r w:rsidR="004475EE">
        <w:t>the Compressible Flow lab</w:t>
      </w:r>
      <w:r>
        <w:t>?</w:t>
      </w:r>
    </w:p>
    <w:p w14:paraId="26B3269D" w14:textId="77777777" w:rsidR="001F3309" w:rsidRDefault="001F3309" w:rsidP="001F3309">
      <w:pPr>
        <w:pStyle w:val="ListParagraph"/>
        <w:ind w:left="1440"/>
      </w:pPr>
    </w:p>
    <w:p w14:paraId="67C0924F" w14:textId="7FBCD859" w:rsidR="007E4F38" w:rsidRDefault="00AC6268" w:rsidP="008470E1">
      <w:pPr>
        <w:pStyle w:val="ListParagraph"/>
        <w:numPr>
          <w:ilvl w:val="1"/>
          <w:numId w:val="3"/>
        </w:numPr>
      </w:pPr>
      <w:r>
        <w:t xml:space="preserve">What are the </w:t>
      </w:r>
      <w:r w:rsidR="008E0788">
        <w:t xml:space="preserve">similarly </w:t>
      </w:r>
      <w:r>
        <w:t xml:space="preserve">determined values of </w:t>
      </w:r>
      <m:oMath>
        <m:sSub>
          <m:sSubPr>
            <m:ctrlPr>
              <w:rPr>
                <w:rFonts w:ascii="Cambria Math" w:hAnsi="Cambria Math"/>
                <w:i/>
              </w:rPr>
            </m:ctrlPr>
          </m:sSubPr>
          <m:e>
            <m:r>
              <w:rPr>
                <w:rFonts w:ascii="Cambria Math" w:hAnsi="Cambria Math"/>
              </w:rPr>
              <m:t>C</m:t>
            </m:r>
          </m:e>
          <m:sub>
            <m:r>
              <w:rPr>
                <w:rFonts w:ascii="Cambria Math" w:hAnsi="Cambria Math"/>
              </w:rPr>
              <m:t>d</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m:t>
            </m:r>
          </m:sub>
        </m:sSub>
      </m:oMath>
      <w:r>
        <w:rPr>
          <w:rFonts w:eastAsiaTheme="minorEastAsia"/>
        </w:rPr>
        <w:t xml:space="preserve"> for the orifice you intend to use?</w:t>
      </w:r>
    </w:p>
    <w:p w14:paraId="0E7ECCF7" w14:textId="3678D016" w:rsidR="008470E1" w:rsidRDefault="008470E1" w:rsidP="008470E1">
      <w:pPr>
        <w:pStyle w:val="ListParagraph"/>
        <w:ind w:left="1440"/>
      </w:pPr>
    </w:p>
    <w:p w14:paraId="226A90B6" w14:textId="77777777" w:rsidR="005F79AF" w:rsidRDefault="005F79AF" w:rsidP="008470E1">
      <w:pPr>
        <w:pStyle w:val="ListParagraph"/>
        <w:ind w:left="1440"/>
      </w:pPr>
    </w:p>
    <w:p w14:paraId="6812C1F9" w14:textId="58059FCD" w:rsidR="008470E1" w:rsidRDefault="00AC6268" w:rsidP="008B265A">
      <w:pPr>
        <w:pStyle w:val="ListParagraph"/>
        <w:numPr>
          <w:ilvl w:val="1"/>
          <w:numId w:val="3"/>
        </w:numPr>
      </w:pPr>
      <w:r>
        <w:t xml:space="preserve">Compute the discharge time constant </w:t>
      </w:r>
      <m:oMath>
        <m:r>
          <w:rPr>
            <w:rFonts w:ascii="Cambria Math" w:hAnsi="Cambria Math"/>
          </w:rPr>
          <m:t>τ</m:t>
        </m:r>
      </m:oMath>
      <w:r>
        <w:rPr>
          <w:rFonts w:eastAsiaTheme="minorEastAsia"/>
        </w:rPr>
        <w:t xml:space="preserve"> for your apparatus. Show your calculations. This allows you to predict </w:t>
      </w:r>
      <w:r w:rsidR="008E0788">
        <w:rPr>
          <w:rFonts w:eastAsiaTheme="minorEastAsia"/>
        </w:rPr>
        <w:t xml:space="preserve">approximately </w:t>
      </w:r>
      <w:r>
        <w:rPr>
          <w:rFonts w:eastAsiaTheme="minorEastAsia"/>
        </w:rPr>
        <w:t>how long the discharge will take.</w:t>
      </w:r>
    </w:p>
    <w:p w14:paraId="010E8CEB" w14:textId="77777777" w:rsidR="008B265A" w:rsidRDefault="008B265A" w:rsidP="008B265A">
      <w:pPr>
        <w:pStyle w:val="ListParagraph"/>
        <w:ind w:left="1440"/>
      </w:pPr>
    </w:p>
    <w:p w14:paraId="01C6069B" w14:textId="024748F3" w:rsidR="008470E1" w:rsidRDefault="008470E1" w:rsidP="008470E1">
      <w:pPr>
        <w:pStyle w:val="ListParagraph"/>
        <w:ind w:left="1440"/>
      </w:pPr>
    </w:p>
    <w:p w14:paraId="03C63A85" w14:textId="66BFB92E" w:rsidR="00AC6268" w:rsidRDefault="00AC6268" w:rsidP="008470E1">
      <w:pPr>
        <w:pStyle w:val="ListParagraph"/>
        <w:ind w:left="1440"/>
      </w:pPr>
    </w:p>
    <w:p w14:paraId="64300D1D" w14:textId="2273F7BD" w:rsidR="00AC6268" w:rsidRDefault="00AC6268" w:rsidP="008470E1">
      <w:pPr>
        <w:pStyle w:val="ListParagraph"/>
        <w:ind w:left="1440"/>
      </w:pPr>
    </w:p>
    <w:p w14:paraId="55F3DE35" w14:textId="07A07B36" w:rsidR="00AC6268" w:rsidRDefault="00AC6268" w:rsidP="008470E1">
      <w:pPr>
        <w:pStyle w:val="ListParagraph"/>
        <w:ind w:left="1440"/>
      </w:pPr>
    </w:p>
    <w:p w14:paraId="32A385EF" w14:textId="4655E7F5" w:rsidR="00AC6268" w:rsidRDefault="00AC6268" w:rsidP="008470E1">
      <w:pPr>
        <w:pStyle w:val="ListParagraph"/>
        <w:ind w:left="1440"/>
      </w:pPr>
    </w:p>
    <w:p w14:paraId="68B07C71" w14:textId="55A2DE1B" w:rsidR="00AC6268" w:rsidRDefault="00AC6268" w:rsidP="008470E1">
      <w:pPr>
        <w:pStyle w:val="ListParagraph"/>
        <w:ind w:left="1440"/>
      </w:pPr>
    </w:p>
    <w:p w14:paraId="642F9097" w14:textId="43252540" w:rsidR="00AC6268" w:rsidRDefault="00AC6268" w:rsidP="008470E1">
      <w:pPr>
        <w:pStyle w:val="ListParagraph"/>
        <w:ind w:left="1440"/>
      </w:pPr>
    </w:p>
    <w:p w14:paraId="0312E970" w14:textId="0792115B" w:rsidR="00AC6268" w:rsidRDefault="00AC6268" w:rsidP="008470E1">
      <w:pPr>
        <w:pStyle w:val="ListParagraph"/>
        <w:ind w:left="1440"/>
      </w:pPr>
    </w:p>
    <w:p w14:paraId="09B09539" w14:textId="565968EA" w:rsidR="00AC6268" w:rsidRDefault="00AC6268" w:rsidP="008470E1">
      <w:pPr>
        <w:pStyle w:val="ListParagraph"/>
        <w:ind w:left="1440"/>
      </w:pPr>
    </w:p>
    <w:p w14:paraId="3F1AB2F3" w14:textId="77777777" w:rsidR="00AC6268" w:rsidRDefault="00AC6268" w:rsidP="008470E1">
      <w:pPr>
        <w:pStyle w:val="ListParagraph"/>
        <w:ind w:left="1440"/>
      </w:pPr>
    </w:p>
    <w:p w14:paraId="76440CFE" w14:textId="41DD2B47" w:rsidR="00AC6268" w:rsidRDefault="00AC6268" w:rsidP="008470E1">
      <w:pPr>
        <w:pStyle w:val="ListParagraph"/>
        <w:ind w:left="1440"/>
      </w:pPr>
    </w:p>
    <w:p w14:paraId="5CD21F41" w14:textId="77777777" w:rsidR="001F3309" w:rsidRDefault="001F3309" w:rsidP="008470E1">
      <w:pPr>
        <w:pStyle w:val="ListParagraph"/>
        <w:ind w:left="1440"/>
      </w:pPr>
    </w:p>
    <w:p w14:paraId="198CA1BA" w14:textId="77777777" w:rsidR="00AC6268" w:rsidRDefault="00AC6268" w:rsidP="008470E1">
      <w:pPr>
        <w:pStyle w:val="ListParagraph"/>
        <w:ind w:left="1440"/>
      </w:pPr>
    </w:p>
    <w:p w14:paraId="0E852540" w14:textId="24F2B954" w:rsidR="005F79AF" w:rsidRDefault="005F79AF" w:rsidP="008470E1">
      <w:pPr>
        <w:pStyle w:val="ListParagraph"/>
        <w:ind w:left="1440"/>
      </w:pPr>
    </w:p>
    <w:p w14:paraId="0EBCA462" w14:textId="6AF27BB0" w:rsidR="005F79AF" w:rsidRDefault="005F79AF" w:rsidP="008470E1">
      <w:pPr>
        <w:pStyle w:val="ListParagraph"/>
        <w:ind w:left="1440"/>
      </w:pPr>
    </w:p>
    <w:p w14:paraId="1DAB4CFA" w14:textId="77777777" w:rsidR="00AC6268" w:rsidRDefault="00AC6268" w:rsidP="007E4F38">
      <w:pPr>
        <w:pStyle w:val="ListParagraph"/>
        <w:numPr>
          <w:ilvl w:val="0"/>
          <w:numId w:val="3"/>
        </w:numPr>
      </w:pPr>
      <w:r>
        <w:t>Perform the tank blowdown experiment.</w:t>
      </w:r>
    </w:p>
    <w:p w14:paraId="214EDD8F" w14:textId="6C68FBBA" w:rsidR="009C3ECA" w:rsidRDefault="00AC6268" w:rsidP="00EB278A">
      <w:pPr>
        <w:pStyle w:val="ListParagraph"/>
        <w:numPr>
          <w:ilvl w:val="1"/>
          <w:numId w:val="3"/>
        </w:numPr>
      </w:pPr>
      <w:r>
        <w:t>First fill the tank to its maximum pressure</w:t>
      </w:r>
      <w:r w:rsidR="00366AD2">
        <w:t xml:space="preserve">, close the filling valve, and allow pressure to equilibrate. Make a plan for the time </w:t>
      </w:r>
      <w:r w:rsidR="008E0788">
        <w:t>increments</w:t>
      </w:r>
      <w:r w:rsidR="00366AD2">
        <w:t xml:space="preserve"> at which you will record tank pressures during blowdown.</w:t>
      </w:r>
      <w:r w:rsidR="00EB278A">
        <w:t xml:space="preserve"> Generally, you need more frequent measurement</w:t>
      </w:r>
      <w:r w:rsidR="00953310">
        <w:t>s</w:t>
      </w:r>
      <w:r w:rsidR="00EB278A">
        <w:t xml:space="preserve"> at the beginning (when pressure is changing rapidly) and less frequent measurements at the end.</w:t>
      </w:r>
    </w:p>
    <w:p w14:paraId="0E645C37" w14:textId="77777777" w:rsidR="00EB278A" w:rsidRDefault="00EB278A" w:rsidP="00EB278A">
      <w:pPr>
        <w:pStyle w:val="ListParagraph"/>
        <w:ind w:left="1440"/>
      </w:pPr>
    </w:p>
    <w:p w14:paraId="71F64C7C" w14:textId="77777777" w:rsidR="00953310" w:rsidRDefault="00F83847" w:rsidP="008470E1">
      <w:pPr>
        <w:pStyle w:val="ListParagraph"/>
        <w:numPr>
          <w:ilvl w:val="1"/>
          <w:numId w:val="3"/>
        </w:numPr>
      </w:pPr>
      <w:r>
        <w:t>Record time vs. tank pressure while emptying the tank though the designated orifice.</w:t>
      </w:r>
      <w:r w:rsidR="001F3309">
        <w:t xml:space="preserve"> Continue making measurements until gauge pressure drops below the </w:t>
      </w:r>
      <w:r w:rsidR="00EB278A">
        <w:t>level</w:t>
      </w:r>
      <w:r w:rsidR="001F3309">
        <w:t xml:space="preserve"> required for choking flow.</w:t>
      </w:r>
      <w:r w:rsidR="00953310">
        <w:t xml:space="preserve"> </w:t>
      </w:r>
    </w:p>
    <w:p w14:paraId="10E12E41" w14:textId="77777777" w:rsidR="00953310" w:rsidRDefault="00953310" w:rsidP="00953310">
      <w:pPr>
        <w:pStyle w:val="ListParagraph"/>
      </w:pPr>
    </w:p>
    <w:p w14:paraId="62D5D624" w14:textId="055D12A1" w:rsidR="00141AC0" w:rsidRDefault="00953310" w:rsidP="008470E1">
      <w:pPr>
        <w:pStyle w:val="ListParagraph"/>
        <w:numPr>
          <w:ilvl w:val="1"/>
          <w:numId w:val="3"/>
        </w:numPr>
      </w:pPr>
      <w:r>
        <w:t>Leave the tank depressurized, but with valves closed, when you are done with the experiment.</w:t>
      </w:r>
    </w:p>
    <w:p w14:paraId="4CD1F9D0" w14:textId="77777777" w:rsidR="00F83847" w:rsidRDefault="00F83847" w:rsidP="00F83847">
      <w:pPr>
        <w:pStyle w:val="ListParagraph"/>
        <w:ind w:left="1440"/>
      </w:pPr>
    </w:p>
    <w:p w14:paraId="082010EC" w14:textId="77777777" w:rsidR="00953310" w:rsidRDefault="00F83847" w:rsidP="00F83847">
      <w:pPr>
        <w:pStyle w:val="ListParagraph"/>
        <w:numPr>
          <w:ilvl w:val="1"/>
          <w:numId w:val="3"/>
        </w:numPr>
      </w:pPr>
      <w:r>
        <w:t xml:space="preserve">Produce a plot of your data (discrete points), compared to smooth theoretical blowdown curves for </w:t>
      </w:r>
      <w:r w:rsidR="00953310">
        <w:t xml:space="preserve">the </w:t>
      </w:r>
      <w:r>
        <w:t xml:space="preserve">isothermal and adiabatic cases. Your plot should be formatted </w:t>
      </w:r>
      <w:r w:rsidR="00EB278A">
        <w:t xml:space="preserve">exactly </w:t>
      </w:r>
      <w:r>
        <w:t xml:space="preserve">like the following example plot. </w:t>
      </w:r>
      <w:r w:rsidR="001F3309">
        <w:t xml:space="preserve">Notice that gauge pressure is plotted, meaning </w:t>
      </w:r>
      <w:r w:rsidR="001F3309">
        <w:lastRenderedPageBreak/>
        <w:t xml:space="preserve">that absolute pressures in the theory must be converted to gauge pressures. </w:t>
      </w:r>
      <w:r>
        <w:t xml:space="preserve">Attach a printout of your Excel sheet </w:t>
      </w:r>
      <w:r w:rsidR="001F3309">
        <w:t xml:space="preserve">containing your raw experimental data </w:t>
      </w:r>
      <w:r>
        <w:t>and your plot to this report.</w:t>
      </w:r>
    </w:p>
    <w:p w14:paraId="5135E1A9" w14:textId="77777777" w:rsidR="00953310" w:rsidRDefault="00953310" w:rsidP="00953310">
      <w:pPr>
        <w:pStyle w:val="ListParagraph"/>
      </w:pPr>
    </w:p>
    <w:p w14:paraId="264B744A" w14:textId="2A5B357F" w:rsidR="00F819C9" w:rsidRDefault="00F83847" w:rsidP="00953310">
      <w:pPr>
        <w:pStyle w:val="ListParagraph"/>
        <w:ind w:left="1440"/>
      </w:pPr>
      <w:r>
        <w:t xml:space="preserve"> </w:t>
      </w:r>
    </w:p>
    <w:p w14:paraId="05847953" w14:textId="1EB9123A" w:rsidR="00F83847" w:rsidRDefault="00953310" w:rsidP="00F83847">
      <w:pPr>
        <w:pStyle w:val="ListParagraph"/>
        <w:ind w:left="1440"/>
      </w:pPr>
      <w:r>
        <w:t>Example Plot:</w:t>
      </w:r>
    </w:p>
    <w:p w14:paraId="3CFCFFC8" w14:textId="77777777" w:rsidR="00953310" w:rsidRDefault="00953310" w:rsidP="00F83847">
      <w:pPr>
        <w:pStyle w:val="ListParagraph"/>
        <w:ind w:left="1440"/>
      </w:pPr>
    </w:p>
    <w:p w14:paraId="3586C70D" w14:textId="2B597050" w:rsidR="00F83847" w:rsidRDefault="001F3309" w:rsidP="00E51B6A">
      <w:pPr>
        <w:pStyle w:val="ListParagraph"/>
      </w:pPr>
      <w:r>
        <w:rPr>
          <w:noProof/>
        </w:rPr>
        <w:drawing>
          <wp:inline distT="0" distB="0" distL="0" distR="0" wp14:anchorId="70BD3A82" wp14:editId="6286FC2B">
            <wp:extent cx="5622531" cy="32715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4842" cy="3325232"/>
                    </a:xfrm>
                    <a:prstGeom prst="rect">
                      <a:avLst/>
                    </a:prstGeom>
                    <a:noFill/>
                  </pic:spPr>
                </pic:pic>
              </a:graphicData>
            </a:graphic>
          </wp:inline>
        </w:drawing>
      </w:r>
    </w:p>
    <w:p w14:paraId="3347F54E" w14:textId="77777777" w:rsidR="00E51B6A" w:rsidRDefault="00E51B6A" w:rsidP="00E51B6A">
      <w:pPr>
        <w:pStyle w:val="ListParagraph"/>
      </w:pPr>
    </w:p>
    <w:p w14:paraId="241911BC" w14:textId="0A624F35" w:rsidR="00F819C9" w:rsidRDefault="00F83847" w:rsidP="008470E1">
      <w:pPr>
        <w:pStyle w:val="ListParagraph"/>
        <w:numPr>
          <w:ilvl w:val="1"/>
          <w:numId w:val="3"/>
        </w:numPr>
      </w:pPr>
      <w:r>
        <w:t>Based on your results, is your previously determined discharge coefficient accurate? If not, what value would work better? Do your results suggest that</w:t>
      </w:r>
      <w:r w:rsidR="00EB278A">
        <w:t xml:space="preserve"> the experiment is closer to</w:t>
      </w:r>
      <w:r>
        <w:t xml:space="preserve"> </w:t>
      </w:r>
      <w:r w:rsidR="00953310">
        <w:t xml:space="preserve">the </w:t>
      </w:r>
      <w:r>
        <w:t xml:space="preserve">isothermal or adiabatic tank conditions </w:t>
      </w:r>
      <w:r w:rsidR="00EB278A">
        <w:t xml:space="preserve">assumed in </w:t>
      </w:r>
      <w:r>
        <w:t>the theory</w:t>
      </w:r>
      <w:r w:rsidR="00EB278A">
        <w:t>?</w:t>
      </w:r>
      <w:r>
        <w:t xml:space="preserve"> Explain.</w:t>
      </w:r>
    </w:p>
    <w:p w14:paraId="1710234A" w14:textId="27B714F3" w:rsidR="00F819C9" w:rsidRDefault="00F819C9" w:rsidP="00F819C9">
      <w:pPr>
        <w:pStyle w:val="ListParagraph"/>
        <w:ind w:left="1440"/>
      </w:pPr>
    </w:p>
    <w:p w14:paraId="7AD9914F" w14:textId="07A87D76" w:rsidR="00F83847" w:rsidRDefault="00F83847" w:rsidP="00F819C9">
      <w:pPr>
        <w:pStyle w:val="ListParagraph"/>
        <w:ind w:left="1440"/>
      </w:pPr>
    </w:p>
    <w:p w14:paraId="65E1D1C9" w14:textId="78855FF8" w:rsidR="00F83847" w:rsidRDefault="00F83847" w:rsidP="00F819C9">
      <w:pPr>
        <w:pStyle w:val="ListParagraph"/>
        <w:ind w:left="1440"/>
      </w:pPr>
    </w:p>
    <w:p w14:paraId="2FBFA462" w14:textId="77777777" w:rsidR="00953310" w:rsidRDefault="00953310" w:rsidP="00F819C9">
      <w:pPr>
        <w:pStyle w:val="ListParagraph"/>
        <w:ind w:left="1440"/>
      </w:pPr>
    </w:p>
    <w:p w14:paraId="37841347" w14:textId="65FEFB26" w:rsidR="00F83847" w:rsidRDefault="00F83847" w:rsidP="00F819C9">
      <w:pPr>
        <w:pStyle w:val="ListParagraph"/>
        <w:ind w:left="1440"/>
      </w:pPr>
    </w:p>
    <w:p w14:paraId="01F5D52C" w14:textId="63757E5B" w:rsidR="00C23CC4" w:rsidRDefault="00C23CC4" w:rsidP="00F819C9">
      <w:pPr>
        <w:pStyle w:val="ListParagraph"/>
        <w:ind w:left="1440"/>
      </w:pPr>
    </w:p>
    <w:p w14:paraId="2D7D4931" w14:textId="77777777" w:rsidR="00E51B6A" w:rsidRDefault="00E51B6A" w:rsidP="00F819C9">
      <w:pPr>
        <w:pStyle w:val="ListParagraph"/>
        <w:ind w:left="1440"/>
      </w:pPr>
    </w:p>
    <w:p w14:paraId="33812D3C" w14:textId="77777777" w:rsidR="00F83847" w:rsidRDefault="00F83847" w:rsidP="00F819C9">
      <w:pPr>
        <w:pStyle w:val="ListParagraph"/>
        <w:ind w:left="1440"/>
      </w:pPr>
    </w:p>
    <w:p w14:paraId="2E29C1CB" w14:textId="3BC2D91A" w:rsidR="00B935FA" w:rsidRDefault="00B935FA" w:rsidP="007E4F38">
      <w:pPr>
        <w:pStyle w:val="ListParagraph"/>
      </w:pPr>
    </w:p>
    <w:p w14:paraId="3D0FA0B9" w14:textId="1B95B0BA" w:rsidR="00E51B6A" w:rsidRDefault="00E51B6A" w:rsidP="007E4F38">
      <w:pPr>
        <w:pStyle w:val="ListParagraph"/>
      </w:pPr>
    </w:p>
    <w:p w14:paraId="58A9890A" w14:textId="7AFB2AAF" w:rsidR="00E51B6A" w:rsidRDefault="00E51B6A" w:rsidP="007E4F38">
      <w:pPr>
        <w:pStyle w:val="ListParagraph"/>
      </w:pPr>
    </w:p>
    <w:p w14:paraId="10A1648D" w14:textId="1A9B3B22" w:rsidR="00E51B6A" w:rsidRDefault="00E51B6A" w:rsidP="007E4F38">
      <w:pPr>
        <w:pStyle w:val="ListParagraph"/>
      </w:pPr>
    </w:p>
    <w:p w14:paraId="50384CE2" w14:textId="1AEA6986" w:rsidR="00E51B6A" w:rsidRDefault="00E51B6A" w:rsidP="007E4F38">
      <w:pPr>
        <w:pStyle w:val="ListParagraph"/>
      </w:pPr>
    </w:p>
    <w:p w14:paraId="2DDEF0FA" w14:textId="5CCF829B" w:rsidR="00E51B6A" w:rsidRDefault="00E51B6A" w:rsidP="007E4F38">
      <w:pPr>
        <w:pStyle w:val="ListParagraph"/>
      </w:pPr>
    </w:p>
    <w:p w14:paraId="1FD261B5" w14:textId="64FB17B8" w:rsidR="00E51B6A" w:rsidRDefault="00E51B6A" w:rsidP="007E4F38">
      <w:pPr>
        <w:pStyle w:val="ListParagraph"/>
      </w:pPr>
    </w:p>
    <w:p w14:paraId="0FC9EC2D" w14:textId="50763744" w:rsidR="00E51B6A" w:rsidRDefault="00E51B6A" w:rsidP="007E4F38">
      <w:pPr>
        <w:pStyle w:val="ListParagraph"/>
      </w:pPr>
    </w:p>
    <w:p w14:paraId="44B1FC57" w14:textId="77777777" w:rsidR="00E51B6A" w:rsidRDefault="00E51B6A" w:rsidP="009C3ECA">
      <w:pPr>
        <w:rPr>
          <w:rFonts w:eastAsiaTheme="minorEastAsia"/>
          <w:b/>
          <w:bCs/>
        </w:rPr>
      </w:pPr>
    </w:p>
    <w:p w14:paraId="69966EB2" w14:textId="6A9A8374" w:rsidR="009C3ECA" w:rsidRDefault="009C3ECA" w:rsidP="009C3ECA">
      <w:pPr>
        <w:rPr>
          <w:rFonts w:eastAsiaTheme="minorEastAsia"/>
          <w:b/>
          <w:bCs/>
        </w:rPr>
      </w:pPr>
      <w:r w:rsidRPr="1F206A56">
        <w:rPr>
          <w:rFonts w:eastAsiaTheme="minorEastAsia"/>
          <w:b/>
          <w:bCs/>
        </w:rPr>
        <w:t>_________________________________________________________________________________</w:t>
      </w:r>
    </w:p>
    <w:p w14:paraId="4B2181E6" w14:textId="77777777" w:rsidR="009C3ECA" w:rsidRPr="00CD3661" w:rsidRDefault="009C3ECA" w:rsidP="009C3ECA">
      <w:pPr>
        <w:rPr>
          <w:b/>
          <w:bCs/>
        </w:rPr>
      </w:pPr>
      <w:r w:rsidRPr="1F206A56">
        <w:rPr>
          <w:b/>
          <w:bCs/>
        </w:rPr>
        <w:t>Grading Rubric (to be completed by TAs)</w:t>
      </w:r>
    </w:p>
    <w:tbl>
      <w:tblPr>
        <w:tblStyle w:val="TableGrid"/>
        <w:tblW w:w="0" w:type="auto"/>
        <w:tblInd w:w="1188" w:type="dxa"/>
        <w:tblLook w:val="04A0" w:firstRow="1" w:lastRow="0" w:firstColumn="1" w:lastColumn="0" w:noHBand="0" w:noVBand="1"/>
      </w:tblPr>
      <w:tblGrid>
        <w:gridCol w:w="4860"/>
        <w:gridCol w:w="1080"/>
        <w:gridCol w:w="990"/>
      </w:tblGrid>
      <w:tr w:rsidR="009C3ECA" w14:paraId="359F6D95" w14:textId="77777777" w:rsidTr="00F25284">
        <w:tc>
          <w:tcPr>
            <w:tcW w:w="4860" w:type="dxa"/>
            <w:tcBorders>
              <w:top w:val="nil"/>
              <w:left w:val="nil"/>
              <w:bottom w:val="nil"/>
              <w:right w:val="nil"/>
            </w:tcBorders>
          </w:tcPr>
          <w:p w14:paraId="5F812939" w14:textId="77777777" w:rsidR="009C3ECA" w:rsidRDefault="009C3ECA" w:rsidP="00F25284"/>
        </w:tc>
        <w:tc>
          <w:tcPr>
            <w:tcW w:w="1080" w:type="dxa"/>
            <w:tcBorders>
              <w:top w:val="nil"/>
              <w:left w:val="nil"/>
              <w:bottom w:val="single" w:sz="8" w:space="0" w:color="auto"/>
              <w:right w:val="nil"/>
            </w:tcBorders>
          </w:tcPr>
          <w:p w14:paraId="79175349" w14:textId="77777777" w:rsidR="009C3ECA" w:rsidRDefault="009C3ECA" w:rsidP="00F25284">
            <w:pPr>
              <w:jc w:val="center"/>
            </w:pPr>
            <w:r>
              <w:t>Points</w:t>
            </w:r>
          </w:p>
        </w:tc>
        <w:tc>
          <w:tcPr>
            <w:tcW w:w="990" w:type="dxa"/>
            <w:tcBorders>
              <w:top w:val="nil"/>
              <w:left w:val="nil"/>
              <w:bottom w:val="single" w:sz="8" w:space="0" w:color="auto"/>
              <w:right w:val="nil"/>
            </w:tcBorders>
          </w:tcPr>
          <w:p w14:paraId="0EE300B9" w14:textId="77777777" w:rsidR="009C3ECA" w:rsidRDefault="009C3ECA" w:rsidP="00F25284">
            <w:pPr>
              <w:jc w:val="center"/>
            </w:pPr>
            <w:r>
              <w:t>Max</w:t>
            </w:r>
          </w:p>
        </w:tc>
      </w:tr>
      <w:tr w:rsidR="009C3ECA" w14:paraId="31208B00" w14:textId="77777777" w:rsidTr="00F25284">
        <w:trPr>
          <w:trHeight w:val="288"/>
        </w:trPr>
        <w:tc>
          <w:tcPr>
            <w:tcW w:w="4860" w:type="dxa"/>
            <w:tcBorders>
              <w:top w:val="nil"/>
              <w:left w:val="nil"/>
              <w:bottom w:val="nil"/>
              <w:right w:val="single" w:sz="8" w:space="0" w:color="auto"/>
            </w:tcBorders>
          </w:tcPr>
          <w:p w14:paraId="403BC5B2" w14:textId="77777777" w:rsidR="009C3ECA" w:rsidRDefault="009C3ECA" w:rsidP="00F25284">
            <w:r>
              <w:t>Completed Activities and write-up</w:t>
            </w:r>
          </w:p>
        </w:tc>
        <w:tc>
          <w:tcPr>
            <w:tcW w:w="1080" w:type="dxa"/>
            <w:tcBorders>
              <w:top w:val="single" w:sz="8" w:space="0" w:color="auto"/>
              <w:left w:val="single" w:sz="8" w:space="0" w:color="auto"/>
              <w:bottom w:val="single" w:sz="8" w:space="0" w:color="auto"/>
              <w:right w:val="single" w:sz="8" w:space="0" w:color="auto"/>
            </w:tcBorders>
          </w:tcPr>
          <w:p w14:paraId="501C0BF7" w14:textId="77777777" w:rsidR="009C3ECA" w:rsidRDefault="009C3ECA" w:rsidP="00F25284">
            <w:pPr>
              <w:jc w:val="center"/>
            </w:pPr>
          </w:p>
        </w:tc>
        <w:tc>
          <w:tcPr>
            <w:tcW w:w="990" w:type="dxa"/>
            <w:tcBorders>
              <w:top w:val="single" w:sz="8" w:space="0" w:color="auto"/>
              <w:left w:val="single" w:sz="8" w:space="0" w:color="auto"/>
              <w:bottom w:val="single" w:sz="8" w:space="0" w:color="auto"/>
              <w:right w:val="single" w:sz="8" w:space="0" w:color="auto"/>
            </w:tcBorders>
          </w:tcPr>
          <w:p w14:paraId="5F03D573" w14:textId="14C2E12C" w:rsidR="009C3ECA" w:rsidRDefault="00EB278A" w:rsidP="00F25284">
            <w:pPr>
              <w:jc w:val="center"/>
            </w:pPr>
            <w:r>
              <w:t>5</w:t>
            </w:r>
          </w:p>
        </w:tc>
      </w:tr>
      <w:tr w:rsidR="009C3ECA" w14:paraId="49338C0E" w14:textId="77777777" w:rsidTr="00F25284">
        <w:trPr>
          <w:trHeight w:val="288"/>
        </w:trPr>
        <w:tc>
          <w:tcPr>
            <w:tcW w:w="4860" w:type="dxa"/>
            <w:tcBorders>
              <w:top w:val="nil"/>
              <w:left w:val="nil"/>
              <w:bottom w:val="nil"/>
              <w:right w:val="single" w:sz="8" w:space="0" w:color="auto"/>
            </w:tcBorders>
          </w:tcPr>
          <w:p w14:paraId="488139E5" w14:textId="77777777" w:rsidR="009C3ECA" w:rsidRDefault="009C3ECA" w:rsidP="00F25284">
            <w:r>
              <w:t>Calculations Accurate</w:t>
            </w:r>
          </w:p>
        </w:tc>
        <w:tc>
          <w:tcPr>
            <w:tcW w:w="1080" w:type="dxa"/>
            <w:tcBorders>
              <w:top w:val="single" w:sz="8" w:space="0" w:color="auto"/>
              <w:left w:val="single" w:sz="8" w:space="0" w:color="auto"/>
              <w:bottom w:val="single" w:sz="8" w:space="0" w:color="auto"/>
              <w:right w:val="single" w:sz="8" w:space="0" w:color="auto"/>
            </w:tcBorders>
          </w:tcPr>
          <w:p w14:paraId="2096D731" w14:textId="77777777" w:rsidR="009C3ECA" w:rsidRDefault="009C3ECA" w:rsidP="00F25284">
            <w:pPr>
              <w:jc w:val="center"/>
            </w:pPr>
          </w:p>
        </w:tc>
        <w:tc>
          <w:tcPr>
            <w:tcW w:w="990" w:type="dxa"/>
            <w:tcBorders>
              <w:top w:val="single" w:sz="8" w:space="0" w:color="auto"/>
              <w:left w:val="single" w:sz="8" w:space="0" w:color="auto"/>
              <w:bottom w:val="single" w:sz="8" w:space="0" w:color="auto"/>
              <w:right w:val="single" w:sz="8" w:space="0" w:color="auto"/>
            </w:tcBorders>
          </w:tcPr>
          <w:p w14:paraId="55CA33D6" w14:textId="794CE85E" w:rsidR="009C3ECA" w:rsidRDefault="00EB278A" w:rsidP="00F25284">
            <w:pPr>
              <w:jc w:val="center"/>
            </w:pPr>
            <w:r>
              <w:t>5</w:t>
            </w:r>
          </w:p>
        </w:tc>
      </w:tr>
      <w:tr w:rsidR="00E51B6A" w14:paraId="6237AD0D" w14:textId="77777777" w:rsidTr="00F25284">
        <w:trPr>
          <w:trHeight w:val="288"/>
        </w:trPr>
        <w:tc>
          <w:tcPr>
            <w:tcW w:w="4860" w:type="dxa"/>
            <w:tcBorders>
              <w:top w:val="nil"/>
              <w:left w:val="nil"/>
              <w:bottom w:val="nil"/>
              <w:right w:val="single" w:sz="8" w:space="0" w:color="auto"/>
            </w:tcBorders>
          </w:tcPr>
          <w:p w14:paraId="088861FE" w14:textId="6EBF53F4" w:rsidR="00E51B6A" w:rsidRDefault="00E51B6A" w:rsidP="00F25284">
            <w:r>
              <w:t xml:space="preserve">Attached Excel and </w:t>
            </w:r>
            <w:r w:rsidR="00EB278A">
              <w:t xml:space="preserve">properly formatted </w:t>
            </w:r>
            <w:r>
              <w:t>graph</w:t>
            </w:r>
          </w:p>
        </w:tc>
        <w:tc>
          <w:tcPr>
            <w:tcW w:w="1080" w:type="dxa"/>
            <w:tcBorders>
              <w:top w:val="single" w:sz="8" w:space="0" w:color="auto"/>
              <w:left w:val="single" w:sz="8" w:space="0" w:color="auto"/>
              <w:bottom w:val="single" w:sz="8" w:space="0" w:color="auto"/>
              <w:right w:val="single" w:sz="8" w:space="0" w:color="auto"/>
            </w:tcBorders>
          </w:tcPr>
          <w:p w14:paraId="7323F37C" w14:textId="77777777" w:rsidR="00E51B6A" w:rsidRDefault="00E51B6A" w:rsidP="00F25284">
            <w:pPr>
              <w:jc w:val="center"/>
            </w:pPr>
          </w:p>
        </w:tc>
        <w:tc>
          <w:tcPr>
            <w:tcW w:w="990" w:type="dxa"/>
            <w:tcBorders>
              <w:top w:val="single" w:sz="8" w:space="0" w:color="auto"/>
              <w:left w:val="single" w:sz="8" w:space="0" w:color="auto"/>
              <w:bottom w:val="single" w:sz="8" w:space="0" w:color="auto"/>
              <w:right w:val="single" w:sz="8" w:space="0" w:color="auto"/>
            </w:tcBorders>
          </w:tcPr>
          <w:p w14:paraId="4540CE50" w14:textId="447AF2D6" w:rsidR="00E51B6A" w:rsidRDefault="00E51B6A" w:rsidP="00F25284">
            <w:pPr>
              <w:jc w:val="center"/>
            </w:pPr>
            <w:r>
              <w:t>4</w:t>
            </w:r>
          </w:p>
        </w:tc>
      </w:tr>
      <w:tr w:rsidR="009C3ECA" w14:paraId="792CD6CC" w14:textId="77777777" w:rsidTr="00F25284">
        <w:trPr>
          <w:trHeight w:val="288"/>
        </w:trPr>
        <w:tc>
          <w:tcPr>
            <w:tcW w:w="4860" w:type="dxa"/>
            <w:tcBorders>
              <w:top w:val="nil"/>
              <w:left w:val="nil"/>
              <w:bottom w:val="nil"/>
              <w:right w:val="single" w:sz="8" w:space="0" w:color="auto"/>
            </w:tcBorders>
          </w:tcPr>
          <w:p w14:paraId="5990E3D4" w14:textId="460B3DB2" w:rsidR="009C3ECA" w:rsidRDefault="009C3ECA" w:rsidP="00F25284">
            <w:r>
              <w:t xml:space="preserve">Safety and </w:t>
            </w:r>
            <w:r w:rsidR="00027EBB">
              <w:t xml:space="preserve">equipment </w:t>
            </w:r>
            <w:proofErr w:type="gramStart"/>
            <w:r w:rsidR="00027EBB">
              <w:t>shutdown</w:t>
            </w:r>
            <w:r>
              <w:t xml:space="preserve">  </w:t>
            </w:r>
            <w:r w:rsidRPr="1F206A56">
              <w:rPr>
                <w:b/>
                <w:bCs/>
              </w:rPr>
              <w:t>TA</w:t>
            </w:r>
            <w:proofErr w:type="gramEnd"/>
            <w:r w:rsidRPr="1F206A56">
              <w:rPr>
                <w:b/>
                <w:bCs/>
              </w:rPr>
              <w:t xml:space="preserve"> initial:______</w:t>
            </w:r>
          </w:p>
        </w:tc>
        <w:tc>
          <w:tcPr>
            <w:tcW w:w="1080" w:type="dxa"/>
            <w:tcBorders>
              <w:top w:val="single" w:sz="8" w:space="0" w:color="auto"/>
              <w:left w:val="single" w:sz="8" w:space="0" w:color="auto"/>
              <w:bottom w:val="single" w:sz="8" w:space="0" w:color="auto"/>
              <w:right w:val="single" w:sz="8" w:space="0" w:color="auto"/>
            </w:tcBorders>
          </w:tcPr>
          <w:p w14:paraId="268127B1" w14:textId="77777777" w:rsidR="009C3ECA" w:rsidRDefault="009C3ECA" w:rsidP="00F25284">
            <w:pPr>
              <w:jc w:val="center"/>
            </w:pPr>
          </w:p>
        </w:tc>
        <w:tc>
          <w:tcPr>
            <w:tcW w:w="990" w:type="dxa"/>
            <w:tcBorders>
              <w:top w:val="single" w:sz="8" w:space="0" w:color="auto"/>
              <w:left w:val="single" w:sz="8" w:space="0" w:color="auto"/>
              <w:bottom w:val="single" w:sz="8" w:space="0" w:color="auto"/>
              <w:right w:val="single" w:sz="8" w:space="0" w:color="auto"/>
            </w:tcBorders>
          </w:tcPr>
          <w:p w14:paraId="43DC6573" w14:textId="77777777" w:rsidR="009C3ECA" w:rsidRDefault="009C3ECA" w:rsidP="00F25284">
            <w:pPr>
              <w:jc w:val="center"/>
            </w:pPr>
            <w:r>
              <w:t>1</w:t>
            </w:r>
          </w:p>
        </w:tc>
      </w:tr>
      <w:tr w:rsidR="009C3ECA" w14:paraId="616C9DC6" w14:textId="77777777" w:rsidTr="001F3309">
        <w:trPr>
          <w:trHeight w:val="511"/>
        </w:trPr>
        <w:tc>
          <w:tcPr>
            <w:tcW w:w="4860" w:type="dxa"/>
            <w:tcBorders>
              <w:top w:val="nil"/>
              <w:left w:val="nil"/>
              <w:bottom w:val="nil"/>
              <w:right w:val="single" w:sz="8" w:space="0" w:color="auto"/>
            </w:tcBorders>
          </w:tcPr>
          <w:p w14:paraId="59EA7D76" w14:textId="77777777" w:rsidR="009C3ECA" w:rsidRDefault="009C3ECA" w:rsidP="00F25284">
            <w:pPr>
              <w:jc w:val="right"/>
            </w:pPr>
            <w:r>
              <w:t>Total</w:t>
            </w:r>
          </w:p>
        </w:tc>
        <w:tc>
          <w:tcPr>
            <w:tcW w:w="1080" w:type="dxa"/>
            <w:tcBorders>
              <w:top w:val="single" w:sz="8" w:space="0" w:color="auto"/>
              <w:left w:val="single" w:sz="8" w:space="0" w:color="auto"/>
              <w:bottom w:val="single" w:sz="8" w:space="0" w:color="auto"/>
              <w:right w:val="single" w:sz="8" w:space="0" w:color="auto"/>
            </w:tcBorders>
          </w:tcPr>
          <w:p w14:paraId="13DBF83A" w14:textId="77777777" w:rsidR="009C3ECA" w:rsidRDefault="009C3ECA" w:rsidP="00F25284">
            <w:pPr>
              <w:jc w:val="center"/>
            </w:pPr>
          </w:p>
        </w:tc>
        <w:tc>
          <w:tcPr>
            <w:tcW w:w="990" w:type="dxa"/>
            <w:tcBorders>
              <w:top w:val="single" w:sz="8" w:space="0" w:color="auto"/>
              <w:left w:val="single" w:sz="8" w:space="0" w:color="auto"/>
              <w:bottom w:val="single" w:sz="8" w:space="0" w:color="auto"/>
              <w:right w:val="single" w:sz="8" w:space="0" w:color="auto"/>
            </w:tcBorders>
          </w:tcPr>
          <w:p w14:paraId="27F0F17A" w14:textId="5E8B3888" w:rsidR="009C3ECA" w:rsidRDefault="009C3ECA" w:rsidP="00F25284">
            <w:pPr>
              <w:jc w:val="center"/>
            </w:pPr>
            <w:r>
              <w:t>1</w:t>
            </w:r>
            <w:r w:rsidR="00EB278A">
              <w:t>5</w:t>
            </w:r>
          </w:p>
        </w:tc>
      </w:tr>
    </w:tbl>
    <w:p w14:paraId="0E2A8F76" w14:textId="77777777" w:rsidR="00F3019E" w:rsidRDefault="00F3019E"/>
    <w:sectPr w:rsidR="00F3019E" w:rsidSect="00E55D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A48D6" w14:textId="77777777" w:rsidR="002A459D" w:rsidRDefault="002A459D">
      <w:pPr>
        <w:spacing w:after="0" w:line="240" w:lineRule="auto"/>
      </w:pPr>
      <w:r>
        <w:separator/>
      </w:r>
    </w:p>
  </w:endnote>
  <w:endnote w:type="continuationSeparator" w:id="0">
    <w:p w14:paraId="1CAE3D7C" w14:textId="77777777" w:rsidR="002A459D" w:rsidRDefault="002A4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0065618"/>
      <w:docPartObj>
        <w:docPartGallery w:val="Page Numbers (Bottom of Page)"/>
        <w:docPartUnique/>
      </w:docPartObj>
    </w:sdtPr>
    <w:sdtEndPr>
      <w:rPr>
        <w:noProof/>
      </w:rPr>
    </w:sdtEndPr>
    <w:sdtContent>
      <w:p w14:paraId="1E42626F" w14:textId="77777777" w:rsidR="00AC2AA8" w:rsidRDefault="009C3ECA">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73C7005B" w14:textId="77777777" w:rsidR="00AC2AA8" w:rsidRDefault="002A4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30ECF" w14:textId="77777777" w:rsidR="002A459D" w:rsidRDefault="002A459D">
      <w:pPr>
        <w:spacing w:after="0" w:line="240" w:lineRule="auto"/>
      </w:pPr>
      <w:r>
        <w:separator/>
      </w:r>
    </w:p>
  </w:footnote>
  <w:footnote w:type="continuationSeparator" w:id="0">
    <w:p w14:paraId="7E011B69" w14:textId="77777777" w:rsidR="002A459D" w:rsidRDefault="002A4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8A0627"/>
    <w:multiLevelType w:val="hybridMultilevel"/>
    <w:tmpl w:val="25326F56"/>
    <w:lvl w:ilvl="0" w:tplc="EA44D038">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DF5C2D"/>
    <w:multiLevelType w:val="hybridMultilevel"/>
    <w:tmpl w:val="11F06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3961FD"/>
    <w:multiLevelType w:val="hybridMultilevel"/>
    <w:tmpl w:val="FADC54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CA"/>
    <w:rsid w:val="00012DE4"/>
    <w:rsid w:val="00022119"/>
    <w:rsid w:val="00027EBB"/>
    <w:rsid w:val="000D08DE"/>
    <w:rsid w:val="000E5B25"/>
    <w:rsid w:val="00126AD4"/>
    <w:rsid w:val="00137965"/>
    <w:rsid w:val="00141AC0"/>
    <w:rsid w:val="0017268D"/>
    <w:rsid w:val="001A0B67"/>
    <w:rsid w:val="001D5897"/>
    <w:rsid w:val="001E501C"/>
    <w:rsid w:val="001F3309"/>
    <w:rsid w:val="001F6FE1"/>
    <w:rsid w:val="00262CBD"/>
    <w:rsid w:val="002735B3"/>
    <w:rsid w:val="002A459D"/>
    <w:rsid w:val="002D43FA"/>
    <w:rsid w:val="002E2000"/>
    <w:rsid w:val="002F7B11"/>
    <w:rsid w:val="003270B8"/>
    <w:rsid w:val="00366AD2"/>
    <w:rsid w:val="00395E7C"/>
    <w:rsid w:val="00424EB7"/>
    <w:rsid w:val="004475EE"/>
    <w:rsid w:val="00472D96"/>
    <w:rsid w:val="004C650D"/>
    <w:rsid w:val="00533D9C"/>
    <w:rsid w:val="005670CB"/>
    <w:rsid w:val="00580F7F"/>
    <w:rsid w:val="005A0C38"/>
    <w:rsid w:val="005A2C87"/>
    <w:rsid w:val="005B417D"/>
    <w:rsid w:val="005E4301"/>
    <w:rsid w:val="005F79AF"/>
    <w:rsid w:val="00644DE6"/>
    <w:rsid w:val="00661FB3"/>
    <w:rsid w:val="00694F1F"/>
    <w:rsid w:val="00710E0B"/>
    <w:rsid w:val="00740556"/>
    <w:rsid w:val="007504E9"/>
    <w:rsid w:val="007E4F38"/>
    <w:rsid w:val="00801FB7"/>
    <w:rsid w:val="008470E1"/>
    <w:rsid w:val="008861E2"/>
    <w:rsid w:val="0089308C"/>
    <w:rsid w:val="008B265A"/>
    <w:rsid w:val="008E01F8"/>
    <w:rsid w:val="008E0384"/>
    <w:rsid w:val="008E0788"/>
    <w:rsid w:val="00952CCA"/>
    <w:rsid w:val="00953310"/>
    <w:rsid w:val="009C27A0"/>
    <w:rsid w:val="009C3ECA"/>
    <w:rsid w:val="00A42610"/>
    <w:rsid w:val="00A7021F"/>
    <w:rsid w:val="00AB7AFA"/>
    <w:rsid w:val="00AC35CF"/>
    <w:rsid w:val="00AC6268"/>
    <w:rsid w:val="00AD5E2D"/>
    <w:rsid w:val="00AE540E"/>
    <w:rsid w:val="00AF7214"/>
    <w:rsid w:val="00AF7ED2"/>
    <w:rsid w:val="00B935FA"/>
    <w:rsid w:val="00BC5C9F"/>
    <w:rsid w:val="00BF4E2E"/>
    <w:rsid w:val="00C23CC4"/>
    <w:rsid w:val="00C626A5"/>
    <w:rsid w:val="00C77DCC"/>
    <w:rsid w:val="00CA1412"/>
    <w:rsid w:val="00CA5FD6"/>
    <w:rsid w:val="00D5111E"/>
    <w:rsid w:val="00DB4DC1"/>
    <w:rsid w:val="00E456C0"/>
    <w:rsid w:val="00E51B6A"/>
    <w:rsid w:val="00EB278A"/>
    <w:rsid w:val="00F03F15"/>
    <w:rsid w:val="00F3019E"/>
    <w:rsid w:val="00F819C9"/>
    <w:rsid w:val="00F83847"/>
    <w:rsid w:val="00F938D1"/>
    <w:rsid w:val="00F95912"/>
    <w:rsid w:val="00FF60D9"/>
    <w:rsid w:val="49800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B528D"/>
  <w15:chartTrackingRefBased/>
  <w15:docId w15:val="{A10BCB2B-56BD-46F1-B63E-147B3096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EC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C3EC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C3ECA"/>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uiPriority w:val="34"/>
    <w:qFormat/>
    <w:rsid w:val="009C3ECA"/>
    <w:pPr>
      <w:ind w:left="720"/>
      <w:contextualSpacing/>
    </w:pPr>
  </w:style>
  <w:style w:type="paragraph" w:styleId="Footer">
    <w:name w:val="footer"/>
    <w:basedOn w:val="Normal"/>
    <w:link w:val="FooterChar"/>
    <w:uiPriority w:val="99"/>
    <w:unhideWhenUsed/>
    <w:rsid w:val="009C3E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ECA"/>
  </w:style>
  <w:style w:type="character" w:styleId="PlaceholderText">
    <w:name w:val="Placeholder Text"/>
    <w:basedOn w:val="DefaultParagraphFont"/>
    <w:uiPriority w:val="99"/>
    <w:semiHidden/>
    <w:rsid w:val="008861E2"/>
    <w:rPr>
      <w:color w:val="80808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475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Wheeler</dc:creator>
  <cp:keywords/>
  <dc:description/>
  <cp:lastModifiedBy>David Lignell</cp:lastModifiedBy>
  <cp:revision>5</cp:revision>
  <dcterms:created xsi:type="dcterms:W3CDTF">2019-10-07T19:44:00Z</dcterms:created>
  <dcterms:modified xsi:type="dcterms:W3CDTF">2021-03-29T11:06:00Z</dcterms:modified>
</cp:coreProperties>
</file>